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22 vom 26. Januar 1972</w:t>
      </w:r>
    </w:p>
    <w:p>
      <w:r>
        <w:t>Bundesgericht (BGE), 1972-01-26, DE</w:t>
      </w:r>
    </w:p>
    <w:p>
      <w:r>
        <w:rPr>
          <w:b/>
        </w:rPr>
        <w:t xml:space="preserve">Quelle: </w:t>
      </w:r>
      <w:r>
        <w:t>https://mcp.opencaselaw.ch/entscheid/bge_98 IA 22</w:t>
      </w:r>
    </w:p>
    <w:p>
      <w:r>
        <w:t>FR: BGE 98 IA 22 du 26 janvier 1972</w:t>
      </w:r>
    </w:p>
    <w:p>
      <w:r>
        <w:t>IT: BGE 98 IA 22 del 26 gennaio 1972</w:t>
      </w:r>
    </w:p>
    <w:p>
      <w:pPr>
        <w:pStyle w:val="Heading2"/>
      </w:pPr>
      <w:r>
        <w:t>Regeste</w:t>
      </w:r>
    </w:p>
    <w:p>
      <w:r>
        <w:t>Regeste Art. 4 BV; Nachsteuerverfahren. Rechtsnatur der Nachsteuer. Wieweit kann im Nachsteuerverfahren auf eine frühere, in Rechtskraft erwachsene Veranlagung zurückgekommen werden?</w:t>
      </w:r>
    </w:p>
    <w:p>
      <w:pPr>
        <w:pStyle w:val="Heading2"/>
      </w:pPr>
      <w:r>
        <w:t>Erwägungen</w:t>
      </w:r>
    </w:p>
    <w:p>
      <w:r>
        <w:rPr>
          <w:b/>
        </w:rPr>
        <w:t>E. 2</w:t>
      </w:r>
    </w:p>
    <w:p>
      <w:r>
        <w:t>Angefochten ist ein gestützt auf § 28 des Reglementes ergangener Entscheid, mit dem die Beschwerdeführerin zur Entrichtung einer Nachsteuer verpflichtet wird. Dass die nachträgliche Bezahlung von Fr. 15'386.30 durch die Stadt Zug eine neue Tatsache im Sinne von § 28 darstellt, welche, wenigstens bei Beibehaltung der bisherigen Berechnungsweise, eine Erhöhung der Steuerschuld zur Folge hat, ist unbestritten. Streitig ist jedoch, wieweit in diesem Nachsteuerverfahren auch weitere, von der genannten neuen Tatsache nicht unmittelbar berührte Einschätzungsfaktoren der seinerzeitigen Veranlagung neu zu beurteilen sind. Dem Reglement ist hierüber nichts zu entnehmen, jedenfalls enthält es keine ausdrückliche Vorschrift, weshalb die Frage anhand allgemeiner steuerrechtlicher Grundsätze zu beantworten ist. Nach der einen, insbesondere BGE 98 Ia 22 S. 25 von BLUMENSTEIN (System des Steuerrechts, 3. A., S. 299, 303) vertretenen Auffassung stellt die Steuernachforderung eine besonders geartete, vom eigentlichen Steueranspruch verschiedene öffentlichrechtliche Forderung dar, die an Stelle des Steueranspruches tritt; dementsprechend begründet eine frühere rechtskräftige Veranlagung keine Einrede der beurteilten Sache (BLUMENSTEIN, a.a.O., S. 303). Nach einer anderen, namentlich im zürcherischen Steuerrecht herrschenden Auffassung bildet das Nachsteuerverfahren lediglich das Korrelat zur Revision der Veranlagung zugunsten des Pflichtigen. Die Nachsteuer ist demnach keine vom ursprünglichen Steueranspruch verschiedene Forderung, sondern die Mehrsteuer, die sich nach der Revision der ursprünglichen Veranlagung ergibt (REIMANN/ZUPPINGER/SCHÄRRER, Kommentar zum Zürcher Steuergesetz, Bd. III, N. 3 zu § 102 StG , S. 492; BOSSHARDT, Die neue zürcherische Einkommens- und Vermögenssteuer, S. 295; GRAF, Die Revision rechtskräftiger Steuerentscheide zugunsten des Steuerpflichtigen, Diss. Zürich 1953, S. 23). Diese zweite Auffassung liegt offenbar auch dem Reglement der Stadt Zug zugrunde. Die in § 28 vorgesehene Nachsteuer hat keinen pönalen Charakter, und es gelten für sie keine besonderen Bemessungsgrundsätze. Das Nachsteuerverfahren bezweckt einzig die Nachforderung zuwenig veranlagter Steuern; es kann daher, wo eine frühere rechtskräftige Veranlagung vorliegt, mit Grund als Revisionsverfahren zuungunsten des Pflichtigen betrachtet werden. Ein derartiges Revisionsverfahren hat jedoch, wie in der zürcherischen Steuerrechtspraxis anerkannt ist, keine vollumfängliche Neuüberprüfung der früheren Veranlagung zur Folge. Die Neueinschätzung ist vielmehr auf jene Punkte beschränkt, in denen sich aufgrund des neuen Materials eine Änderung ergibt; im übrigen bleibt die frühere tatsächliche und rechtliche Würdigung des Falles massgebend, gleichgültig, ob sich dies zugunsten oder zuungunsten des Pflichtigen auswirkt. Hingegen kann der Pflichtige seinerseits im Nachsteuerverfahren neue Tatsachen oder Beweismittel geltend machen und gestützt darauf in den betreffenden Punkten eine für ihn günstige Berichtigung der Einschätzung verlangen. Inbezug auf andere Fragen, welche mit dem neuen Material in keinem unmittelbaren Zusammenhang stehen, wird im Nachsteuerverfahren eine Korrektur zugunsten des Pflichtigen nur dann zugelassen, wenn ein offensichtlicher Fehler vorliegt (vgl. BOSSHARDT, BGE 98 Ia 22 S. 26 a.a.O., S. 298; ZUPPINGER, Nach- und Strafsteuern gemäss zürcherischem Steuergesetz, S. 41 ff; RÜEGG, ZBl 1933, S. 697-700; REIMANN/ZUPPINGER/SCHÄRRER, a.a.O., N. 31 und 32 zu § 103 StG , S. 517; SCHNEIDER, Die Steuernachforderung bei direkten Steuern, Diss. Bern 1945, S. 51 f.).</w:t>
      </w:r>
    </w:p>
    <w:p>
      <w:r>
        <w:rPr>
          <w:b/>
        </w:rPr>
        <w:t>E. 3</w:t>
      </w:r>
    </w:p>
    <w:p>
      <w:r>
        <w:t>Der angefochtene Entscheid der Rekurskommission hält sich im Rahmen dieser anerkannten Grundsätze, weshalb der Vorwurf der Willkür unbegründet ist. a) Es ist unbestritten, dass sich, sofern die frühere Berechnungsweise und die übrigen Berechnungsfaktoren unverändert bleiben, durch die nachträgliche Beitragsleistung der Stadt Zug eine Nachsteuer im geforderten Umfang ergibt. Die Beschwerdeführerin stellte jedoch im Nachsteuerverfahren das Begehren, dass die Einschätzung sich nicht nur auf die beiden Baugrundstücke zu beziehen habe, sondern für alle drei Parzellen, d.h. auch für die Wegparzelle Nr. 3340, getrennt vorzunehmen sei. Sie verlangt damit die Neubeurteilung einer bereits im früheren Veranlagungsverfahren entschiedenen Rechtsfrage. Die kantonalen Behörden wären nach dem Gesagten hiezu verpflichtet, wenn eine diese Frage berührende neue Tatsache vorläge. Im ersten Verfahren hatte die Veranlagungsbehörde offenbar angenommen, dass die - schon damals grundbuchlich ausgeschiedene - Wegparzelle kein selbständiges Grundstück im Sinne des Reglementes darstelle, und hatte demgemäss zur Berechnung der Grundstückgewinnsteuer die mit der Überbauung verbundenen Anlagekosten, u.a. auch die Kosten für den Erwerb der Wegparzelle und den Ausbau des Fussweges, auf die beiden Hauptgrundstücke verteilt. Ob dies richtig war, kann dahingestellt bleiben. Jedenfalls ist die nachträgliche Abtretung der Wegparzelle an die Stadt Zug keine neue Tatsache, welche ein Zurückkommen auf diese Betrachtungsweise rechtfertigen würde. Dass laut Vertrag die Parzelle "unentgeltlich" der Stadt überlassen wurde, spricht vielmehr dafür, dass sie, für sich allein betrachtet, keinen Verkehrswert besitzt, sondern ausschliesslich den umliegenden Grundstücken dient und daher nicht als selbständige Einheit zu behandeln ist. Nach den erwähnten für das Nachsteuerverfahren geltenden Grundsätzen hätte die kantonale Behörde von dieser Betrachtungsweise daher nur dann abweichen müssen, wenn sie eindeutig falsch wäre und zu einer offensichtlich zu hohen Besteuerung führen würde. Auch dies trifft nicht zu. Es lässt sich zumindest ohne BGE 98 Ia 22 S. 27 Willkür die Auffassung vertreten, dass der von der Beschwerdeführerin nunmehr angerufene § 13 des Reglementes auf einen Fall wie den vorliegenden keine Anwendung finde. Ein Festhalten an der bisherigen Betrachtungsweise rechtfertigt sich umso mehr, als die Beschwerdeführerin im früheren Veranlagungsverfahren sich damit abgefunden hatte und ihr nunmehriges Begehren zu ihren damaligen Vorbringen sogar in einem gewissen Widerspruch steht. b) Nicht anders verhält es sich mit dem behaupteten Gesamtbetriebsverlust, den die Beschwerdeführerin im Nachsteuerverfahren erneut in Abzug bringen will. Sie hätte schon im früheren Verfahren darlegen können, dass und in welcher Höhe ein solcher Verlust entstanden sei (vgl. S. 21 ff. des bundesgerichtlichen Urteils vom 25. September 1968). Auch in diesem Punkt will sie mit Behauptungen, denen keine neuen Tatsachen oder Beweismittel zugrunde liegen, das rechtskräftig abgeschlossene Veranlagungsverfahren wieder aufrollen. Die Rekurskommission verstiess demnach nicht gegen Art. 4 BV , wenn sie im Nachsteuerverfahren die Geltendmachung des behaupteten Gesamtbetriebsverlustes nicht zuliess.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